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2"/>
          <w:szCs w:val="32"/>
        </w:rPr>
      </w:pPr>
    </w:p>
    <w:p>
      <w:pPr>
        <w:jc w:val="center"/>
        <w:rPr>
          <w:rFonts w:ascii="宋体"/>
          <w:b/>
          <w:sz w:val="32"/>
          <w:szCs w:val="32"/>
        </w:rPr>
      </w:pPr>
    </w:p>
    <w:p>
      <w:pPr>
        <w:jc w:val="center"/>
        <w:rPr>
          <w:rFonts w:ascii="宋体"/>
          <w:b/>
          <w:sz w:val="32"/>
          <w:szCs w:val="32"/>
        </w:rPr>
      </w:pPr>
    </w:p>
    <w:p>
      <w:pPr>
        <w:spacing w:line="360" w:lineRule="auto"/>
        <w:jc w:val="center"/>
        <w:rPr>
          <w:rFonts w:hint="eastAsia" w:ascii="方正小标宋简体" w:hAnsi="方正小标宋简体" w:eastAsia="方正小标宋简体" w:cs="方正小标宋简体"/>
          <w:b w:val="0"/>
          <w:bCs/>
          <w:kern w:val="22"/>
          <w:sz w:val="44"/>
          <w:szCs w:val="44"/>
        </w:rPr>
      </w:pPr>
      <w:r>
        <w:rPr>
          <w:rFonts w:hint="eastAsia" w:ascii="方正小标宋简体" w:hAnsi="方正小标宋简体" w:eastAsia="方正小标宋简体" w:cs="方正小标宋简体"/>
          <w:b w:val="0"/>
          <w:bCs/>
          <w:kern w:val="22"/>
          <w:sz w:val="44"/>
          <w:szCs w:val="44"/>
        </w:rPr>
        <w:t>山西省地方标准</w:t>
      </w:r>
    </w:p>
    <w:p>
      <w:pPr>
        <w:spacing w:line="360" w:lineRule="auto"/>
        <w:jc w:val="center"/>
        <w:rPr>
          <w:rFonts w:hint="eastAsia" w:ascii="方正小标宋简体" w:hAnsi="方正小标宋简体" w:eastAsia="方正小标宋简体" w:cs="方正小标宋简体"/>
          <w:b w:val="0"/>
          <w:bCs/>
          <w:kern w:val="22"/>
          <w:sz w:val="44"/>
          <w:szCs w:val="44"/>
        </w:rPr>
      </w:pPr>
      <w:r>
        <w:rPr>
          <w:rFonts w:hint="eastAsia" w:ascii="方正小标宋简体" w:hAnsi="方正小标宋简体" w:eastAsia="方正小标宋简体" w:cs="方正小标宋简体"/>
          <w:b w:val="0"/>
          <w:bCs/>
          <w:kern w:val="22"/>
          <w:sz w:val="44"/>
          <w:szCs w:val="44"/>
        </w:rPr>
        <w:t>《</w:t>
      </w:r>
      <w:r>
        <w:rPr>
          <w:rFonts w:hint="eastAsia" w:ascii="方正小标宋简体" w:hAnsi="方正小标宋简体" w:eastAsia="方正小标宋简体" w:cs="方正小标宋简体"/>
          <w:b w:val="0"/>
          <w:bCs/>
          <w:kern w:val="22"/>
          <w:sz w:val="44"/>
          <w:szCs w:val="44"/>
          <w:lang w:eastAsia="zh-CN"/>
        </w:rPr>
        <w:t>露地</w:t>
      </w:r>
      <w:r>
        <w:rPr>
          <w:rFonts w:hint="eastAsia" w:ascii="方正小标宋简体" w:hAnsi="方正小标宋简体" w:eastAsia="方正小标宋简体" w:cs="方正小标宋简体"/>
          <w:b w:val="0"/>
          <w:bCs/>
          <w:kern w:val="22"/>
          <w:sz w:val="44"/>
          <w:szCs w:val="44"/>
        </w:rPr>
        <w:t>大樱桃</w:t>
      </w:r>
      <w:r>
        <w:rPr>
          <w:rFonts w:hint="eastAsia" w:ascii="方正小标宋简体" w:hAnsi="方正小标宋简体" w:eastAsia="方正小标宋简体" w:cs="方正小标宋简体"/>
          <w:b w:val="0"/>
          <w:bCs/>
          <w:kern w:val="22"/>
          <w:sz w:val="44"/>
          <w:szCs w:val="44"/>
          <w:lang w:eastAsia="zh-CN"/>
        </w:rPr>
        <w:t>主要</w:t>
      </w:r>
      <w:r>
        <w:rPr>
          <w:rFonts w:hint="eastAsia" w:ascii="方正小标宋简体" w:hAnsi="方正小标宋简体" w:eastAsia="方正小标宋简体" w:cs="方正小标宋简体"/>
          <w:b w:val="0"/>
          <w:bCs/>
          <w:kern w:val="22"/>
          <w:sz w:val="44"/>
          <w:szCs w:val="44"/>
        </w:rPr>
        <w:t>病虫害绿色防控技术规程》编制说明</w:t>
      </w:r>
    </w:p>
    <w:p>
      <w:pPr>
        <w:ind w:firstLine="640" w:firstLineChars="200"/>
        <w:rPr>
          <w:rFonts w:hint="eastAsia" w:ascii="方正小标宋简体" w:hAnsi="方正小标宋简体" w:eastAsia="方正小标宋简体" w:cs="方正小标宋简体"/>
          <w:b w:val="0"/>
          <w:bCs/>
          <w:sz w:val="32"/>
          <w:szCs w:val="32"/>
        </w:rPr>
      </w:pPr>
      <w:bookmarkStart w:id="0" w:name="_GoBack"/>
    </w:p>
    <w:p>
      <w:pPr>
        <w:ind w:firstLine="642" w:firstLineChars="200"/>
        <w:rPr>
          <w:rFonts w:ascii="仿宋" w:hAnsi="仿宋" w:eastAsia="仿宋"/>
          <w:b/>
          <w:sz w:val="32"/>
          <w:szCs w:val="32"/>
        </w:rPr>
      </w:pPr>
    </w:p>
    <w:bookmarkEnd w:id="0"/>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jc w:val="center"/>
        <w:rPr>
          <w:rFonts w:ascii="仿宋" w:hAnsi="仿宋" w:eastAsia="仿宋"/>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rPr>
          <w:rFonts w:ascii="宋体"/>
          <w:b/>
          <w:sz w:val="32"/>
          <w:szCs w:val="32"/>
        </w:rPr>
      </w:pPr>
    </w:p>
    <w:p>
      <w:pPr>
        <w:spacing w:line="360" w:lineRule="auto"/>
        <w:jc w:val="center"/>
        <w:rPr>
          <w:rFonts w:ascii="宋体" w:hAnsi="宋体"/>
          <w:b/>
          <w:kern w:val="22"/>
          <w:sz w:val="10"/>
          <w:szCs w:val="10"/>
        </w:rPr>
      </w:pPr>
      <w:r>
        <w:rPr>
          <w:rFonts w:hint="eastAsia" w:ascii="宋体" w:hAnsi="宋体"/>
          <w:b/>
          <w:kern w:val="22"/>
          <w:sz w:val="32"/>
          <w:szCs w:val="32"/>
        </w:rPr>
        <w:t>编制单位：山西省植物保护植物检疫中心</w:t>
      </w:r>
    </w:p>
    <w:p>
      <w:pPr>
        <w:jc w:val="center"/>
        <w:rPr>
          <w:rFonts w:ascii="宋体" w:hAnsi="宋体"/>
          <w:b/>
          <w:sz w:val="32"/>
          <w:szCs w:val="32"/>
        </w:rPr>
      </w:pPr>
      <w:r>
        <w:rPr>
          <w:rFonts w:hint="eastAsia" w:ascii="宋体" w:hAnsi="宋体"/>
          <w:b/>
          <w:sz w:val="32"/>
          <w:szCs w:val="32"/>
        </w:rPr>
        <w:t>二〇二四年三月</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sz w:val="36"/>
          <w:szCs w:val="36"/>
        </w:rPr>
        <w:sectPr>
          <w:footerReference r:id="rId3" w:type="default"/>
          <w:pgSz w:w="11906" w:h="16838"/>
          <w:pgMar w:top="1440" w:right="1800" w:bottom="1440" w:left="1800" w:header="851" w:footer="992" w:gutter="0"/>
          <w:pgNumType w:fmt="decimal" w:start="1"/>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山西省地方标准</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w:t>
      </w:r>
      <w:r>
        <w:rPr>
          <w:rFonts w:hint="eastAsia" w:ascii="方正小标宋简体" w:hAnsi="方正小标宋简体" w:eastAsia="方正小标宋简体" w:cs="方正小标宋简体"/>
          <w:b w:val="0"/>
          <w:bCs/>
          <w:sz w:val="36"/>
          <w:szCs w:val="36"/>
          <w:lang w:eastAsia="zh-CN"/>
        </w:rPr>
        <w:t>露地</w:t>
      </w:r>
      <w:r>
        <w:rPr>
          <w:rFonts w:hint="eastAsia" w:ascii="方正小标宋简体" w:hAnsi="方正小标宋简体" w:eastAsia="方正小标宋简体" w:cs="方正小标宋简体"/>
          <w:b w:val="0"/>
          <w:bCs/>
          <w:sz w:val="36"/>
          <w:szCs w:val="36"/>
        </w:rPr>
        <w:t>大樱桃</w:t>
      </w:r>
      <w:r>
        <w:rPr>
          <w:rFonts w:hint="eastAsia" w:ascii="方正小标宋简体" w:hAnsi="方正小标宋简体" w:eastAsia="方正小标宋简体" w:cs="方正小标宋简体"/>
          <w:b w:val="0"/>
          <w:bCs/>
          <w:sz w:val="36"/>
          <w:szCs w:val="36"/>
          <w:lang w:eastAsia="zh-CN"/>
        </w:rPr>
        <w:t>主要</w:t>
      </w:r>
      <w:r>
        <w:rPr>
          <w:rFonts w:hint="eastAsia" w:ascii="方正小标宋简体" w:hAnsi="方正小标宋简体" w:eastAsia="方正小标宋简体" w:cs="方正小标宋简体"/>
          <w:b w:val="0"/>
          <w:bCs/>
          <w:sz w:val="36"/>
          <w:szCs w:val="36"/>
        </w:rPr>
        <w:t>病虫害绿色防控技术规程》</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修订编制说明</w:t>
      </w:r>
    </w:p>
    <w:p>
      <w:pPr>
        <w:spacing w:line="360" w:lineRule="auto"/>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一、工作简况</w:t>
      </w:r>
    </w:p>
    <w:p>
      <w:pPr>
        <w:spacing w:line="360" w:lineRule="auto"/>
        <w:ind w:left="465"/>
        <w:outlineLvl w:val="1"/>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1</w:t>
      </w:r>
      <w:r>
        <w:rPr>
          <w:rFonts w:hint="eastAsia" w:eastAsia="楷体_GB2312" w:cs="Times New Roman"/>
          <w:sz w:val="32"/>
          <w:szCs w:val="32"/>
          <w:lang w:val="en-US" w:eastAsia="zh-CN"/>
        </w:rPr>
        <w:t xml:space="preserve">. </w:t>
      </w:r>
      <w:r>
        <w:rPr>
          <w:rFonts w:hint="default" w:ascii="Times New Roman" w:hAnsi="Times New Roman" w:eastAsia="楷体_GB2312" w:cs="Times New Roman"/>
          <w:sz w:val="32"/>
          <w:szCs w:val="32"/>
        </w:rPr>
        <w:t>任务来源</w:t>
      </w:r>
    </w:p>
    <w:p>
      <w:pPr>
        <w:spacing w:line="36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根据山西省市场监督管理局关于2022年度省级地方标准复审结论公告（山西省地方标准公告2022年第20号）要求，山西省农业农村厅等单位组织修订地方标准项目。经查询，《大樱桃病虫害绿色防控技术规程》DB14/T 1224-2016被列为山西省地方标准修订计划，本标准由山西省农业标准化技术委员会（SXS/TC19）归口。</w:t>
      </w:r>
    </w:p>
    <w:p>
      <w:pPr>
        <w:spacing w:line="360" w:lineRule="auto"/>
        <w:ind w:left="465"/>
        <w:outlineLvl w:val="1"/>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2</w:t>
      </w:r>
      <w:r>
        <w:rPr>
          <w:rFonts w:hint="eastAsia" w:eastAsia="楷体_GB2312" w:cs="Times New Roman"/>
          <w:sz w:val="32"/>
          <w:szCs w:val="32"/>
          <w:lang w:val="en-US" w:eastAsia="zh-CN"/>
        </w:rPr>
        <w:t xml:space="preserve">. </w:t>
      </w:r>
      <w:r>
        <w:rPr>
          <w:rFonts w:hint="default" w:ascii="Times New Roman" w:hAnsi="Times New Roman" w:eastAsia="楷体_GB2312" w:cs="Times New Roman"/>
          <w:sz w:val="32"/>
          <w:szCs w:val="32"/>
        </w:rPr>
        <w:t>起草单位和主要起草人</w:t>
      </w:r>
    </w:p>
    <w:p>
      <w:pPr>
        <w:spacing w:line="360" w:lineRule="auto"/>
        <w:ind w:firstLine="640" w:firstLineChars="200"/>
        <w:jc w:val="left"/>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起草任务由山西省植物保护植物检疫中心、运城市农业农村局、万荣县农业农村局承担。</w:t>
      </w:r>
    </w:p>
    <w:p>
      <w:pPr>
        <w:spacing w:line="360" w:lineRule="auto"/>
        <w:ind w:firstLine="560" w:firstLineChars="200"/>
        <w:jc w:val="center"/>
        <w:outlineLvl w:val="1"/>
        <w:rPr>
          <w:rFonts w:hint="eastAsia" w:ascii="黑体" w:hAnsi="黑体" w:eastAsia="黑体" w:cs="黑体"/>
          <w:sz w:val="28"/>
          <w:szCs w:val="28"/>
        </w:rPr>
      </w:pPr>
      <w:r>
        <w:rPr>
          <w:rFonts w:hint="eastAsia" w:ascii="黑体" w:hAnsi="黑体" w:eastAsia="黑体" w:cs="黑体"/>
          <w:sz w:val="28"/>
          <w:szCs w:val="28"/>
        </w:rPr>
        <w:t>主要起草人信息</w:t>
      </w:r>
    </w:p>
    <w:tbl>
      <w:tblPr>
        <w:tblStyle w:val="13"/>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3472"/>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42" w:type="dxa"/>
            <w:vAlign w:val="center"/>
          </w:tcPr>
          <w:p>
            <w:pPr>
              <w:spacing w:line="400" w:lineRule="exact"/>
              <w:jc w:val="center"/>
              <w:rPr>
                <w:rFonts w:ascii="仿宋" w:hAnsi="仿宋" w:eastAsia="仿宋" w:cs="Courier New"/>
                <w:b/>
                <w:bCs/>
                <w:sz w:val="24"/>
              </w:rPr>
            </w:pPr>
            <w:r>
              <w:rPr>
                <w:rFonts w:hint="eastAsia" w:ascii="仿宋" w:hAnsi="仿宋" w:eastAsia="仿宋" w:cs="Courier New"/>
                <w:b/>
                <w:bCs/>
                <w:sz w:val="24"/>
              </w:rPr>
              <w:t>姓  名</w:t>
            </w:r>
          </w:p>
        </w:tc>
        <w:tc>
          <w:tcPr>
            <w:tcW w:w="993" w:type="dxa"/>
            <w:vAlign w:val="center"/>
          </w:tcPr>
          <w:p>
            <w:pPr>
              <w:spacing w:line="400" w:lineRule="exact"/>
              <w:jc w:val="center"/>
              <w:rPr>
                <w:rFonts w:ascii="仿宋" w:hAnsi="仿宋" w:eastAsia="仿宋" w:cs="Courier New"/>
                <w:b/>
                <w:bCs/>
                <w:sz w:val="24"/>
              </w:rPr>
            </w:pPr>
            <w:r>
              <w:rPr>
                <w:rFonts w:hint="eastAsia" w:ascii="仿宋" w:hAnsi="仿宋" w:eastAsia="仿宋" w:cs="Courier New"/>
                <w:b/>
                <w:bCs/>
                <w:sz w:val="24"/>
              </w:rPr>
              <w:t>性 别</w:t>
            </w:r>
          </w:p>
        </w:tc>
        <w:tc>
          <w:tcPr>
            <w:tcW w:w="1701" w:type="dxa"/>
            <w:vAlign w:val="center"/>
          </w:tcPr>
          <w:p>
            <w:pPr>
              <w:spacing w:line="400" w:lineRule="exact"/>
              <w:jc w:val="center"/>
              <w:rPr>
                <w:rFonts w:ascii="仿宋" w:hAnsi="仿宋" w:eastAsia="仿宋" w:cs="Courier New"/>
                <w:b/>
                <w:bCs/>
                <w:sz w:val="24"/>
              </w:rPr>
            </w:pPr>
            <w:r>
              <w:rPr>
                <w:rFonts w:hint="eastAsia" w:ascii="仿宋" w:hAnsi="仿宋" w:eastAsia="仿宋" w:cs="Courier New"/>
                <w:b/>
                <w:bCs/>
                <w:sz w:val="24"/>
              </w:rPr>
              <w:t>职务/职称</w:t>
            </w:r>
          </w:p>
        </w:tc>
        <w:tc>
          <w:tcPr>
            <w:tcW w:w="3472" w:type="dxa"/>
            <w:vAlign w:val="center"/>
          </w:tcPr>
          <w:p>
            <w:pPr>
              <w:spacing w:line="400" w:lineRule="exact"/>
              <w:jc w:val="center"/>
              <w:rPr>
                <w:rFonts w:ascii="仿宋" w:hAnsi="仿宋" w:eastAsia="仿宋" w:cs="Courier New"/>
                <w:b/>
                <w:bCs/>
                <w:sz w:val="24"/>
              </w:rPr>
            </w:pPr>
            <w:r>
              <w:rPr>
                <w:rFonts w:hint="eastAsia" w:ascii="仿宋" w:hAnsi="仿宋" w:eastAsia="仿宋" w:cs="Courier New"/>
                <w:b/>
                <w:bCs/>
                <w:sz w:val="24"/>
              </w:rPr>
              <w:t>工作单位</w:t>
            </w:r>
          </w:p>
        </w:tc>
        <w:tc>
          <w:tcPr>
            <w:tcW w:w="1263" w:type="dxa"/>
            <w:vAlign w:val="center"/>
          </w:tcPr>
          <w:p>
            <w:pPr>
              <w:spacing w:line="400" w:lineRule="exact"/>
              <w:jc w:val="center"/>
              <w:rPr>
                <w:rFonts w:ascii="仿宋" w:hAnsi="仿宋" w:eastAsia="仿宋" w:cs="Courier New"/>
                <w:b/>
                <w:bCs/>
                <w:sz w:val="24"/>
              </w:rPr>
            </w:pPr>
            <w:r>
              <w:rPr>
                <w:rFonts w:hint="eastAsia" w:ascii="仿宋" w:hAnsi="仿宋" w:eastAsia="仿宋" w:cs="Courier New"/>
                <w:b/>
                <w:bCs/>
                <w:sz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张东霞</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女</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正高级农艺师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山西省植物保护植物检疫中心</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尹祥杰</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男</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山西省植物保护植物检疫中心</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王  莉</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女</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高级农艺师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山西省植物保护植物检疫中心</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贺春娟</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女</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正高级农艺师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万荣县农业农村局</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朱艳天</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女</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山西省植物保护植物检疫中心</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刘艳俊</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男</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山西省植物保护植物检疫中心</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康  辰</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男</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农艺师</w:t>
            </w:r>
          </w:p>
        </w:tc>
        <w:tc>
          <w:tcPr>
            <w:tcW w:w="3472" w:type="dxa"/>
            <w:vAlign w:val="center"/>
          </w:tcPr>
          <w:p>
            <w:pPr>
              <w:spacing w:line="300" w:lineRule="exact"/>
              <w:jc w:val="center"/>
              <w:rPr>
                <w:rFonts w:ascii="仿宋" w:hAnsi="仿宋" w:eastAsia="仿宋" w:cs="仿宋"/>
                <w:sz w:val="24"/>
              </w:rPr>
            </w:pPr>
            <w:r>
              <w:rPr>
                <w:rFonts w:hint="eastAsia" w:ascii="仿宋" w:hAnsi="仿宋" w:eastAsia="仿宋" w:cs="仿宋"/>
                <w:sz w:val="24"/>
              </w:rPr>
              <w:t>山西省农业规划设计研究院</w:t>
            </w:r>
          </w:p>
          <w:p>
            <w:pPr>
              <w:spacing w:line="300" w:lineRule="exact"/>
              <w:jc w:val="center"/>
              <w:rPr>
                <w:rFonts w:ascii="仿宋" w:hAnsi="仿宋" w:eastAsia="仿宋" w:cs="仿宋"/>
                <w:sz w:val="24"/>
              </w:rPr>
            </w:pPr>
            <w:r>
              <w:rPr>
                <w:rFonts w:hint="eastAsia" w:ascii="仿宋" w:hAnsi="仿宋" w:eastAsia="仿宋" w:cs="仿宋"/>
                <w:sz w:val="24"/>
              </w:rPr>
              <w:t>有限公司</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刘  凤</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女</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万荣县农业农村局</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郑晓东</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男</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高级农艺师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山西省植物保护植物检疫中心</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贾蕊琴</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女</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助理农艺师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万荣县农业农村局</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申晓晨</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男</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运城市植物保护植物检疫站</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刘一景</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女</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山西省植物保护植物检疫中心</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400" w:lineRule="exact"/>
              <w:jc w:val="center"/>
              <w:rPr>
                <w:rFonts w:ascii="仿宋" w:hAnsi="仿宋" w:eastAsia="仿宋" w:cs="仿宋"/>
                <w:sz w:val="24"/>
              </w:rPr>
            </w:pPr>
            <w:r>
              <w:rPr>
                <w:rFonts w:hint="eastAsia" w:ascii="仿宋" w:hAnsi="仿宋" w:eastAsia="仿宋" w:cs="仿宋"/>
                <w:sz w:val="24"/>
              </w:rPr>
              <w:t>胡  浩</w:t>
            </w:r>
          </w:p>
        </w:tc>
        <w:tc>
          <w:tcPr>
            <w:tcW w:w="993" w:type="dxa"/>
            <w:vAlign w:val="center"/>
          </w:tcPr>
          <w:p>
            <w:pPr>
              <w:spacing w:line="400" w:lineRule="exact"/>
              <w:jc w:val="center"/>
              <w:rPr>
                <w:rFonts w:ascii="仿宋" w:hAnsi="仿宋" w:eastAsia="仿宋" w:cs="仿宋"/>
                <w:sz w:val="24"/>
              </w:rPr>
            </w:pPr>
            <w:r>
              <w:rPr>
                <w:rFonts w:hint="eastAsia" w:ascii="仿宋" w:hAnsi="仿宋" w:eastAsia="仿宋" w:cs="仿宋"/>
                <w:sz w:val="24"/>
              </w:rPr>
              <w:t>男</w:t>
            </w:r>
          </w:p>
        </w:tc>
        <w:tc>
          <w:tcPr>
            <w:tcW w:w="1701" w:type="dxa"/>
            <w:vAlign w:val="center"/>
          </w:tcPr>
          <w:p>
            <w:pPr>
              <w:spacing w:line="400" w:lineRule="exact"/>
              <w:jc w:val="center"/>
              <w:rPr>
                <w:rFonts w:ascii="仿宋" w:hAnsi="仿宋" w:eastAsia="仿宋" w:cs="仿宋"/>
                <w:sz w:val="24"/>
              </w:rPr>
            </w:pPr>
            <w:r>
              <w:rPr>
                <w:rFonts w:hint="eastAsia" w:ascii="仿宋" w:hAnsi="仿宋" w:eastAsia="仿宋" w:cs="仿宋"/>
                <w:sz w:val="24"/>
              </w:rPr>
              <w:t>助理农艺师</w:t>
            </w:r>
          </w:p>
        </w:tc>
        <w:tc>
          <w:tcPr>
            <w:tcW w:w="3472" w:type="dxa"/>
            <w:vAlign w:val="center"/>
          </w:tcPr>
          <w:p>
            <w:pPr>
              <w:spacing w:line="400" w:lineRule="exact"/>
              <w:jc w:val="center"/>
              <w:rPr>
                <w:rFonts w:ascii="仿宋" w:hAnsi="仿宋" w:eastAsia="仿宋" w:cs="仿宋"/>
                <w:sz w:val="24"/>
              </w:rPr>
            </w:pPr>
            <w:r>
              <w:rPr>
                <w:rFonts w:hint="eastAsia" w:ascii="仿宋" w:hAnsi="仿宋" w:eastAsia="仿宋" w:cs="仿宋"/>
                <w:sz w:val="24"/>
              </w:rPr>
              <w:t>山西省植物保护植物检疫中心</w:t>
            </w:r>
          </w:p>
        </w:tc>
        <w:tc>
          <w:tcPr>
            <w:tcW w:w="1263" w:type="dxa"/>
            <w:vAlign w:val="center"/>
          </w:tcPr>
          <w:p>
            <w:pPr>
              <w:spacing w:line="400" w:lineRule="exact"/>
              <w:jc w:val="center"/>
              <w:rPr>
                <w:rFonts w:ascii="仿宋" w:hAnsi="仿宋" w:eastAsia="仿宋" w:cs="仿宋"/>
                <w:sz w:val="24"/>
              </w:rPr>
            </w:pPr>
            <w:r>
              <w:rPr>
                <w:rFonts w:hint="eastAsia" w:ascii="仿宋" w:hAnsi="仿宋" w:eastAsia="仿宋" w:cs="仿宋"/>
                <w:sz w:val="24"/>
              </w:rPr>
              <w:t>现场调研</w:t>
            </w:r>
          </w:p>
        </w:tc>
      </w:tr>
    </w:tbl>
    <w:p>
      <w:pPr>
        <w:spacing w:line="360" w:lineRule="auto"/>
        <w:ind w:firstLine="480" w:firstLineChars="200"/>
        <w:outlineLvl w:val="0"/>
        <w:rPr>
          <w:rFonts w:ascii="黑体" w:eastAsia="黑体"/>
          <w:sz w:val="2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楷体" w:cs="Times New Roman"/>
          <w:sz w:val="32"/>
          <w:szCs w:val="32"/>
        </w:rPr>
      </w:pPr>
      <w:r>
        <w:rPr>
          <w:rFonts w:hint="default" w:ascii="Times New Roman" w:hAnsi="Times New Roman" w:eastAsia="黑体" w:cs="Times New Roman"/>
          <w:sz w:val="32"/>
          <w:szCs w:val="32"/>
        </w:rPr>
        <w:t>二、修订标准的必要性和意义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近年来，大樱桃在我省种植面积不断增加，种植范围逐步扩大，是我省部分市县重要特色农产品，具有较高经济价值，在农业增效、农民增收、产业扶贫等方面发挥了重要作用。受异常气候和果园生态环境变化的影响，大樱桃病虫发生种类逐渐增加，范围逐年扩大，程度不断加重，生产中需要操作性强、实用性好、防治效果高的规范性防治技术。山西省地方标准《大樱桃病虫害绿色防控技术规程》DB14/T 1224-2016颁布实施近7年，为大樱桃病虫害科学防治提供了有力技术支撑。随着相关标准组织管理部门的调整、标准化工作导则的修订、绿色防控技术的进步，对标国家对农药减量工作及公众对农产品质量要求的提高，DB14/T 1224-2016部分内容和引用标准已不适用有关政策和产业发展，需进一步修改完善，以满足新阶段大樱桃安全生产需要。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三、主要修订工作过程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1、成立标准修订工作组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2022年10-12月，</w:t>
      </w:r>
      <w:r>
        <w:rPr>
          <w:rFonts w:hint="default" w:ascii="Times New Roman" w:hAnsi="Times New Roman" w:eastAsia="仿宋_GB2312" w:cs="Times New Roman"/>
          <w:sz w:val="32"/>
          <w:szCs w:val="32"/>
        </w:rPr>
        <w:t>山西省市场监督管理局印发《关于2022年度省级地方标准复审结论公告》</w:t>
      </w:r>
      <w:r>
        <w:rPr>
          <w:rFonts w:hint="default" w:ascii="Times New Roman" w:hAnsi="Times New Roman" w:eastAsia="仿宋_GB2312" w:cs="Times New Roman"/>
          <w:bCs/>
          <w:sz w:val="32"/>
          <w:szCs w:val="32"/>
        </w:rPr>
        <w:t>的通知后，省植保中心成立了标准修订工作组。组织修订工作人员，制定了工作计划，在疫情期间采取线上+线下的方式进行了及时沟通，保证了工作的顺利进行。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2、调研考察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2023年1-3月，深入我省运城、太原、长治等果树种植区，以大樱桃种植专业合作社、新型经营主体及大樱桃种植户为对象，针对各地近年大樱桃病虫害发生情况、重点防治对象、主要防治措施进行了生产情况实地摸底，调研了各大樱桃主产区病虫害绿色防控及农药减量的做法和成效、问题和建议，了解了生产需求、获得了大量实践经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3、收集资料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2023年4-7月，标准工作组查阅了大樱桃病虫绿色防控相关的国家标准、行业标准以及省方标准。经查询，截至目前涉及大樱桃病虫害防治技术的国家标准，行业标准标准还没有，现行有效的地方标准4个，涉及山东、青海、河北、陕西4个省份。修订起草组组收集了大樱桃病虫害绿色防控相关书籍和研究论文，整理和分析了近10年15个省级大樱桃病虫绿色防控示范区建设总结材料、病虫绿色防控技术试验示范总结报告，</w:t>
      </w:r>
      <w:r>
        <w:rPr>
          <w:rFonts w:hint="default" w:ascii="Times New Roman" w:hAnsi="Times New Roman" w:eastAsia="仿宋_GB2312" w:cs="Times New Roman"/>
          <w:sz w:val="32"/>
          <w:szCs w:val="32"/>
        </w:rPr>
        <w:t>归纳总结了目前我省大樱桃生产中病虫害防控存在的问题并得出相应结论，</w:t>
      </w:r>
      <w:r>
        <w:rPr>
          <w:rFonts w:hint="default" w:ascii="Times New Roman" w:hAnsi="Times New Roman" w:eastAsia="仿宋_GB2312" w:cs="Times New Roman"/>
          <w:bCs/>
          <w:sz w:val="32"/>
          <w:szCs w:val="32"/>
        </w:rPr>
        <w:t>为本标准修订提供实际参考。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4、修订文本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工作组于2023年8月上旬着手标准文稿的起草工作，编制了征求意见稿，10月中旬将征求意见稿发送各位植保专家和相关实施单位，各专家与实施单位于11月上旬反馈回来各自修改稿，通过综合形成了该标准修订文本的送审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5、标准审查会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2024年3月2日，在迎泽大街312号省园艺中心会议室，与会专家听取了起草单位对《大樱桃病虫害绿色防控技术规程》的修订情况汇报，并对标准送审稿和编制说明进行了审查，经质询讨论，提出了修改意见。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四、制修订标准的原则和依据，与现行法律、法规、标准的关系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标准严格按照《中华人民共和国标准法》、《中华人民共和国农业法》、《生物安全法》《农作物病虫害防治条例》等有关法律和质量技术监督局《农业标准化管理办法》、山西省地方标准《地方标准制定工作规范》DB14/T 1665—2022、《地方标准技术审查工作规范》DB14/T 2577—2022等规章执行。本标准根据GB/T 1.1—2020《标准化工作导则  第1部分：标准化文件的结构和起草规则》的规定起草，内容和要求参照了相关法律规则，引用了现行的国家标准和行业标准，与现行法律、法规及强制标准没有冲突。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五、主要条款的说明，主要技术指标、参数、试验验证的分析、综合论述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标准起草组以“合法性、安全性、适应性、协调性和先进性”为修订原则，以文本结构更加合理、表述更加准确、技术指标更加科学为修订目标，从三个方面对文本进行了修订，其中：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1、涉及结构性调整的主要有4项：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（1）删除了3.2 “农业防治”、3.3 “理化诱控”、3.5 “樱桃初花期”。修订原因：为使标准结构更规范，内容更简洁。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删除了原文本中的附录A“大樱桃生产中禁止使用的农药”和附录B“大樱桃病虫绿色防控推荐农药及使用办法”。修订原因：一是大樱桃生产中禁止使用的农药种类，会随国家政策要求不断调整，如列为文本附件，需及时跟进更新，本标准也将因此增加修订的频次；二是此部分内容为国家强制要求，而本标准为推荐性技术标准。三是目前</w:t>
      </w:r>
      <w:r>
        <w:rPr>
          <w:rFonts w:hint="default" w:ascii="Times New Roman" w:hAnsi="Times New Roman" w:eastAsia="仿宋_GB2312" w:cs="Times New Roman"/>
          <w:sz w:val="32"/>
          <w:szCs w:val="32"/>
        </w:rPr>
        <w:t>无在大樱桃上登记的化学农药，</w:t>
      </w:r>
      <w:r>
        <w:rPr>
          <w:rFonts w:hint="default" w:ascii="Times New Roman" w:hAnsi="Times New Roman" w:eastAsia="仿宋_GB2312" w:cs="Times New Roman"/>
          <w:bCs/>
          <w:sz w:val="32"/>
          <w:szCs w:val="32"/>
        </w:rPr>
        <w:t>不建议在附录中推荐化学农药。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（3）增加了4.1、4.2、4.3。修订原因：使章节层次更清晰，逻辑更合理。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（4）增加了5 “防治对象”和7 “生产档案”。修订原因：使标准更具有实操性和指导性，全面指导和服务农业生产。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2、涉及表述与编辑性修改的主要有2项：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（1）修改了标准名称。将标准名称修改为“露地大樱桃主要病虫害绿色防控技术规程”。修订原因：使标题更加准确。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（2）修改标题。将“4 防治原则”修改为“4 防治要求”。修订原因：章节题目与文本内容更加贴切。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3、涉及到的技术指标主要有4项：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（1）删除了原文本“2 规范性引用文件”中的部分引用标准。具体删除了GB 4285  农药安全使用标准。删除原因：该标准已废止。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（2）增加了“2 规范性引用文件”中GB/T 24689.2 植物保护机械  杀虫灯和GB/T 24689.4 植物保护机械  诱虫板。修订原因：规范标准引用。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（3）增加了5.5.3.2 诱蝇球诱杀。修订原因：丰富防治技术。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（4）增加了资料性附录“大樱桃主要病虫害危害特征及发生规律”。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六、重大意见分歧的处理依据和结果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本标准无重大意见分歧。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七、采标情况，是否合规引用或采用国际标准和国外先进标准，以及与国内外同类标准水平的对比情况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本标准没有采用国际标准和国外先进标准。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八、作为推荐性标准或者强制性标准的建议及其理由。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建议本标准为推荐性标准。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九、实施标准的措施建议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1、打造标准化示范基地。结合省级大樱桃病虫害绿色防控示范基地的建设，建立大樱桃全程绿色防控技术样板田，用最好的技术和效益样板，推进标准的实施和应用，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借助媒体广泛宣传。借助农科110专家、12306热线专家、省产业体系专家等多种平台，结合培训活动、基层技术指导活动等广泛开展标准宣传，同时充分利用电视、广播、报刊、网络、微信公众号等“线上线下”媒体进行专题介绍和宣传，在“山西农业农村厅网”、 “今日农业”、“农科110”网站、公众号和相关专业期刊、杂志和报纸将大樱桃病虫害绿色防控技术规程普及到基层生产中去。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3、深入种植户开展技术指导服务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pPr>
      <w:r>
        <w:rPr>
          <w:rFonts w:hint="default" w:ascii="Times New Roman" w:hAnsi="Times New Roman" w:eastAsia="仿宋_GB2312" w:cs="Times New Roman"/>
          <w:sz w:val="32"/>
          <w:szCs w:val="32"/>
        </w:rPr>
        <w:t>利用项目组成员参与的专家包联服务、科技服务小分队等，通过举办培训班、召开现场会、远程教育、专家讲座和科技直通车进村入户等方式，加强农技人员应用标准、推广标准的培训及现场技术指导，做好高素质农民培训，提升大樱桃种植户懂标、用标的意识和能力。</w:t>
      </w:r>
    </w:p>
    <w:p/>
    <w:p>
      <w:pPr>
        <w:ind w:firstLine="293"/>
        <w:jc w:val="left"/>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pPr>
    </w:p>
    <w:p>
      <w:pPr>
        <w:snapToGrid w:val="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山西省省级地方标准征求意见汇总处理表</w:t>
      </w:r>
    </w:p>
    <w:p>
      <w:pPr>
        <w:pStyle w:val="2"/>
        <w:ind w:left="0" w:leftChars="0"/>
        <w:rPr>
          <w:rFonts w:ascii="Times New Roman" w:hAnsi="Times New Roman"/>
          <w:sz w:val="24"/>
          <w:szCs w:val="24"/>
        </w:rPr>
      </w:pPr>
    </w:p>
    <w:p>
      <w:pPr>
        <w:pStyle w:val="2"/>
        <w:ind w:left="0" w:leftChars="0"/>
        <w:rPr>
          <w:rFonts w:ascii="Times New Roman" w:hAnsi="Times New Roman"/>
          <w:sz w:val="24"/>
          <w:szCs w:val="24"/>
        </w:rPr>
      </w:pPr>
      <w:r>
        <w:rPr>
          <w:rFonts w:hint="eastAsia" w:ascii="Times New Roman" w:hAnsi="Times New Roman"/>
          <w:sz w:val="24"/>
          <w:szCs w:val="24"/>
        </w:rPr>
        <w:t>起草单位：山西省植物保护植物检疫中心    承办人：张东霞      联系电话：18635134558      填写时间：2023年11月20日</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529"/>
        <w:gridCol w:w="5896"/>
        <w:gridCol w:w="2160"/>
        <w:gridCol w:w="1646"/>
        <w:gridCol w:w="2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spacing w:line="340" w:lineRule="exact"/>
              <w:jc w:val="center"/>
              <w:rPr>
                <w:szCs w:val="21"/>
              </w:rPr>
            </w:pPr>
            <w:r>
              <w:rPr>
                <w:rFonts w:hint="eastAsia"/>
                <w:szCs w:val="21"/>
              </w:rPr>
              <w:t>序号</w:t>
            </w:r>
          </w:p>
        </w:tc>
        <w:tc>
          <w:tcPr>
            <w:tcW w:w="1529" w:type="dxa"/>
            <w:vAlign w:val="center"/>
          </w:tcPr>
          <w:p>
            <w:pPr>
              <w:spacing w:line="340" w:lineRule="exact"/>
              <w:jc w:val="center"/>
              <w:rPr>
                <w:szCs w:val="21"/>
              </w:rPr>
            </w:pPr>
            <w:r>
              <w:rPr>
                <w:rFonts w:hint="eastAsia"/>
                <w:szCs w:val="21"/>
              </w:rPr>
              <w:t>标准章条编号</w:t>
            </w:r>
          </w:p>
        </w:tc>
        <w:tc>
          <w:tcPr>
            <w:tcW w:w="5896" w:type="dxa"/>
            <w:vAlign w:val="center"/>
          </w:tcPr>
          <w:p>
            <w:pPr>
              <w:spacing w:line="340" w:lineRule="exact"/>
              <w:jc w:val="center"/>
              <w:rPr>
                <w:szCs w:val="21"/>
              </w:rPr>
            </w:pPr>
            <w:r>
              <w:rPr>
                <w:rFonts w:hint="eastAsia"/>
                <w:szCs w:val="21"/>
              </w:rPr>
              <w:t>意见内容</w:t>
            </w:r>
          </w:p>
        </w:tc>
        <w:tc>
          <w:tcPr>
            <w:tcW w:w="2160" w:type="dxa"/>
            <w:vAlign w:val="center"/>
          </w:tcPr>
          <w:p>
            <w:pPr>
              <w:spacing w:line="340" w:lineRule="exact"/>
              <w:jc w:val="center"/>
              <w:rPr>
                <w:szCs w:val="21"/>
              </w:rPr>
            </w:pPr>
            <w:r>
              <w:rPr>
                <w:rFonts w:hint="eastAsia"/>
                <w:szCs w:val="21"/>
              </w:rPr>
              <w:t>提出单位（或个人）</w:t>
            </w:r>
          </w:p>
        </w:tc>
        <w:tc>
          <w:tcPr>
            <w:tcW w:w="1646" w:type="dxa"/>
            <w:vAlign w:val="center"/>
          </w:tcPr>
          <w:p>
            <w:pPr>
              <w:spacing w:line="340" w:lineRule="exact"/>
              <w:jc w:val="center"/>
              <w:rPr>
                <w:szCs w:val="21"/>
              </w:rPr>
            </w:pPr>
            <w:r>
              <w:rPr>
                <w:rFonts w:hint="eastAsia"/>
                <w:szCs w:val="21"/>
              </w:rPr>
              <w:t>处理意见</w:t>
            </w:r>
          </w:p>
          <w:p>
            <w:pPr>
              <w:spacing w:line="340" w:lineRule="exact"/>
              <w:jc w:val="center"/>
              <w:rPr>
                <w:szCs w:val="21"/>
              </w:rPr>
            </w:pPr>
            <w:r>
              <w:rPr>
                <w:rFonts w:hint="eastAsia"/>
                <w:szCs w:val="21"/>
              </w:rPr>
              <w:t>（采纳/不采纳）</w:t>
            </w:r>
          </w:p>
        </w:tc>
        <w:tc>
          <w:tcPr>
            <w:tcW w:w="2028" w:type="dxa"/>
            <w:vAlign w:val="center"/>
          </w:tcPr>
          <w:p>
            <w:pPr>
              <w:spacing w:line="340" w:lineRule="exact"/>
              <w:jc w:val="center"/>
              <w:rPr>
                <w:szCs w:val="21"/>
              </w:rPr>
            </w:pPr>
            <w:r>
              <w:rPr>
                <w:rFonts w:hint="eastAsia"/>
                <w:szCs w:val="21"/>
              </w:rPr>
              <w:t>意见处理说明</w:t>
            </w:r>
          </w:p>
          <w:p>
            <w:pPr>
              <w:spacing w:line="340" w:lineRule="exact"/>
              <w:jc w:val="center"/>
              <w:rPr>
                <w:szCs w:val="21"/>
              </w:rPr>
            </w:pPr>
            <w:r>
              <w:rPr>
                <w:rFonts w:hint="eastAsia"/>
                <w:szCs w:val="21"/>
              </w:rPr>
              <w:t>（不采纳的理由等）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33" w:type="dxa"/>
            <w:vAlign w:val="center"/>
          </w:tcPr>
          <w:p>
            <w:pPr>
              <w:snapToGrid w:val="0"/>
              <w:spacing w:line="340" w:lineRule="exact"/>
              <w:jc w:val="center"/>
              <w:rPr>
                <w:rFonts w:eastAsia="仿宋_GB2312"/>
                <w:bCs/>
                <w:sz w:val="24"/>
              </w:rPr>
            </w:pPr>
            <w:r>
              <w:rPr>
                <w:rFonts w:hint="eastAsia" w:eastAsia="仿宋_GB2312"/>
                <w:bCs/>
                <w:sz w:val="24"/>
              </w:rPr>
              <w:t>1</w:t>
            </w:r>
          </w:p>
        </w:tc>
        <w:tc>
          <w:tcPr>
            <w:tcW w:w="1529" w:type="dxa"/>
            <w:vAlign w:val="center"/>
          </w:tcPr>
          <w:p>
            <w:pPr>
              <w:snapToGrid w:val="0"/>
              <w:spacing w:line="340" w:lineRule="exact"/>
              <w:jc w:val="center"/>
              <w:rPr>
                <w:rFonts w:eastAsia="仿宋_GB2312"/>
                <w:bCs/>
                <w:sz w:val="24"/>
              </w:rPr>
            </w:pPr>
            <w:r>
              <w:rPr>
                <w:rFonts w:hint="eastAsia" w:eastAsia="仿宋_GB2312"/>
                <w:bCs/>
                <w:sz w:val="24"/>
              </w:rPr>
              <w:t>4</w:t>
            </w:r>
          </w:p>
        </w:tc>
        <w:tc>
          <w:tcPr>
            <w:tcW w:w="5896" w:type="dxa"/>
            <w:vAlign w:val="center"/>
          </w:tcPr>
          <w:p>
            <w:pPr>
              <w:snapToGrid w:val="0"/>
              <w:spacing w:line="360" w:lineRule="auto"/>
              <w:rPr>
                <w:rFonts w:eastAsia="仿宋_GB2312"/>
                <w:bCs/>
                <w:sz w:val="24"/>
              </w:rPr>
            </w:pPr>
            <w:r>
              <w:rPr>
                <w:rFonts w:hint="eastAsia"/>
              </w:rPr>
              <w:t>可分多条目，更明了，方便理解。</w:t>
            </w:r>
          </w:p>
        </w:tc>
        <w:tc>
          <w:tcPr>
            <w:tcW w:w="2160" w:type="dxa"/>
            <w:vAlign w:val="center"/>
          </w:tcPr>
          <w:p>
            <w:pPr>
              <w:snapToGrid w:val="0"/>
              <w:spacing w:line="340" w:lineRule="exact"/>
              <w:jc w:val="center"/>
              <w:rPr>
                <w:rFonts w:eastAsia="仿宋_GB2312"/>
                <w:bCs/>
                <w:sz w:val="24"/>
              </w:rPr>
            </w:pPr>
            <w:r>
              <w:rPr>
                <w:rFonts w:eastAsia="仿宋_GB2312"/>
                <w:bCs/>
                <w:sz w:val="24"/>
              </w:rPr>
              <w:t>运城市植物保护植物检疫站</w:t>
            </w:r>
          </w:p>
        </w:tc>
        <w:tc>
          <w:tcPr>
            <w:tcW w:w="1646" w:type="dxa"/>
            <w:vAlign w:val="center"/>
          </w:tcPr>
          <w:p>
            <w:pPr>
              <w:snapToGrid w:val="0"/>
              <w:spacing w:line="340" w:lineRule="exact"/>
              <w:jc w:val="center"/>
              <w:rPr>
                <w:rFonts w:eastAsia="仿宋_GB2312"/>
                <w:bCs/>
                <w:sz w:val="24"/>
              </w:rPr>
            </w:pPr>
            <w:r>
              <w:rPr>
                <w:rFonts w:eastAsia="仿宋_GB2312"/>
                <w:bCs/>
                <w:sz w:val="24"/>
              </w:rPr>
              <w:t>采纳</w:t>
            </w:r>
          </w:p>
        </w:tc>
        <w:tc>
          <w:tcPr>
            <w:tcW w:w="2028" w:type="dxa"/>
            <w:vAlign w:val="center"/>
          </w:tcPr>
          <w:p>
            <w:pPr>
              <w:snapToGrid w:val="0"/>
              <w:spacing w:line="340" w:lineRule="exact"/>
              <w:rPr>
                <w:rFonts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733" w:type="dxa"/>
            <w:vAlign w:val="center"/>
          </w:tcPr>
          <w:p>
            <w:pPr>
              <w:snapToGrid w:val="0"/>
              <w:spacing w:line="340" w:lineRule="exact"/>
              <w:jc w:val="center"/>
              <w:rPr>
                <w:rFonts w:eastAsia="仿宋_GB2312"/>
                <w:bCs/>
                <w:sz w:val="24"/>
              </w:rPr>
            </w:pPr>
            <w:r>
              <w:rPr>
                <w:rFonts w:hint="eastAsia" w:eastAsia="仿宋_GB2312"/>
                <w:bCs/>
                <w:sz w:val="24"/>
              </w:rPr>
              <w:t>2</w:t>
            </w:r>
          </w:p>
        </w:tc>
        <w:tc>
          <w:tcPr>
            <w:tcW w:w="1529" w:type="dxa"/>
            <w:vAlign w:val="center"/>
          </w:tcPr>
          <w:p>
            <w:pPr>
              <w:snapToGrid w:val="0"/>
              <w:spacing w:line="340" w:lineRule="exact"/>
              <w:jc w:val="center"/>
              <w:rPr>
                <w:rFonts w:eastAsia="仿宋_GB2312"/>
                <w:bCs/>
                <w:sz w:val="24"/>
              </w:rPr>
            </w:pPr>
            <w:r>
              <w:rPr>
                <w:rFonts w:hint="eastAsia" w:eastAsia="仿宋_GB2312"/>
                <w:bCs/>
                <w:sz w:val="24"/>
              </w:rPr>
              <w:t>5.1.4</w:t>
            </w:r>
          </w:p>
        </w:tc>
        <w:tc>
          <w:tcPr>
            <w:tcW w:w="5896" w:type="dxa"/>
            <w:vAlign w:val="center"/>
          </w:tcPr>
          <w:p>
            <w:pPr>
              <w:snapToGrid w:val="0"/>
              <w:spacing w:line="340" w:lineRule="exact"/>
              <w:rPr>
                <w:rFonts w:eastAsia="仿宋_GB2312"/>
                <w:bCs/>
                <w:sz w:val="24"/>
              </w:rPr>
            </w:pPr>
            <w:r>
              <w:rPr>
                <w:rFonts w:hint="eastAsia"/>
              </w:rPr>
              <w:t>删除“5.1.4保护伤口”章节中的“甲流</w:t>
            </w:r>
            <w:r>
              <w:rPr>
                <w:rFonts w:hint="eastAsia" w:ascii="仿宋_GB2312" w:hAnsi="宋体" w:eastAsia="仿宋_GB2312"/>
                <w:sz w:val="24"/>
              </w:rPr>
              <w:t>·萘乙酸</w:t>
            </w:r>
            <w:r>
              <w:rPr>
                <w:rFonts w:hint="eastAsia"/>
              </w:rPr>
              <w:t>”药剂，该药剂在生产中应用逐渐减少。</w:t>
            </w:r>
          </w:p>
        </w:tc>
        <w:tc>
          <w:tcPr>
            <w:tcW w:w="2160" w:type="dxa"/>
            <w:vAlign w:val="center"/>
          </w:tcPr>
          <w:p>
            <w:pPr>
              <w:snapToGrid w:val="0"/>
              <w:spacing w:line="340" w:lineRule="exact"/>
              <w:jc w:val="center"/>
              <w:rPr>
                <w:rFonts w:eastAsia="仿宋_GB2312"/>
                <w:bCs/>
                <w:sz w:val="24"/>
              </w:rPr>
            </w:pPr>
            <w:r>
              <w:rPr>
                <w:rFonts w:eastAsia="仿宋_GB2312"/>
                <w:bCs/>
                <w:sz w:val="24"/>
              </w:rPr>
              <w:t>运城市植物保护植物检疫站</w:t>
            </w:r>
          </w:p>
        </w:tc>
        <w:tc>
          <w:tcPr>
            <w:tcW w:w="1646" w:type="dxa"/>
            <w:vAlign w:val="center"/>
          </w:tcPr>
          <w:p>
            <w:pPr>
              <w:snapToGrid w:val="0"/>
              <w:spacing w:line="340" w:lineRule="exact"/>
              <w:jc w:val="center"/>
              <w:rPr>
                <w:rFonts w:eastAsia="仿宋_GB2312"/>
                <w:bCs/>
                <w:sz w:val="24"/>
              </w:rPr>
            </w:pPr>
            <w:r>
              <w:rPr>
                <w:rFonts w:hint="eastAsia" w:eastAsia="仿宋_GB2312"/>
                <w:bCs/>
                <w:sz w:val="24"/>
              </w:rPr>
              <w:t>采纳</w:t>
            </w:r>
          </w:p>
        </w:tc>
        <w:tc>
          <w:tcPr>
            <w:tcW w:w="2028" w:type="dxa"/>
            <w:vAlign w:val="center"/>
          </w:tcPr>
          <w:p>
            <w:pPr>
              <w:snapToGrid w:val="0"/>
              <w:spacing w:line="340" w:lineRule="exact"/>
              <w:rPr>
                <w:rFonts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733" w:type="dxa"/>
            <w:vAlign w:val="center"/>
          </w:tcPr>
          <w:p>
            <w:pPr>
              <w:snapToGrid w:val="0"/>
              <w:spacing w:line="340" w:lineRule="exact"/>
              <w:jc w:val="center"/>
              <w:rPr>
                <w:rFonts w:eastAsia="仿宋_GB2312"/>
                <w:bCs/>
                <w:sz w:val="24"/>
              </w:rPr>
            </w:pPr>
            <w:r>
              <w:rPr>
                <w:rFonts w:hint="eastAsia" w:eastAsia="仿宋_GB2312"/>
                <w:bCs/>
                <w:sz w:val="24"/>
              </w:rPr>
              <w:t>3</w:t>
            </w:r>
          </w:p>
        </w:tc>
        <w:tc>
          <w:tcPr>
            <w:tcW w:w="1529" w:type="dxa"/>
            <w:vAlign w:val="center"/>
          </w:tcPr>
          <w:p>
            <w:pPr>
              <w:snapToGrid w:val="0"/>
              <w:spacing w:line="340" w:lineRule="exact"/>
              <w:jc w:val="center"/>
              <w:rPr>
                <w:rFonts w:eastAsia="仿宋_GB2312"/>
                <w:bCs/>
                <w:sz w:val="24"/>
              </w:rPr>
            </w:pPr>
            <w:r>
              <w:rPr>
                <w:rFonts w:hint="eastAsia"/>
              </w:rPr>
              <w:t>5.2.4</w:t>
            </w:r>
          </w:p>
        </w:tc>
        <w:tc>
          <w:tcPr>
            <w:tcW w:w="5896" w:type="dxa"/>
            <w:vAlign w:val="center"/>
          </w:tcPr>
          <w:p>
            <w:pPr>
              <w:snapToGrid w:val="0"/>
              <w:spacing w:line="360" w:lineRule="auto"/>
              <w:rPr>
                <w:rFonts w:eastAsia="仿宋_GB2312"/>
                <w:bCs/>
                <w:sz w:val="24"/>
              </w:rPr>
            </w:pPr>
            <w:r>
              <w:rPr>
                <w:rFonts w:hint="eastAsia"/>
              </w:rPr>
              <w:t>在“5.2.4 药剂灌根”章节中增加“多粘类芽孢杆菌KN-03”药剂，，该药剂为新型生物源药剂，可以有效防治果树根癌病，在生产中应用逐年增多。</w:t>
            </w:r>
          </w:p>
        </w:tc>
        <w:tc>
          <w:tcPr>
            <w:tcW w:w="2160" w:type="dxa"/>
            <w:vAlign w:val="center"/>
          </w:tcPr>
          <w:p>
            <w:pPr>
              <w:snapToGrid w:val="0"/>
              <w:spacing w:line="340" w:lineRule="exact"/>
              <w:jc w:val="center"/>
              <w:rPr>
                <w:rFonts w:eastAsia="仿宋_GB2312"/>
                <w:bCs/>
                <w:sz w:val="24"/>
              </w:rPr>
            </w:pPr>
            <w:r>
              <w:rPr>
                <w:rFonts w:eastAsia="仿宋_GB2312"/>
                <w:bCs/>
                <w:sz w:val="24"/>
              </w:rPr>
              <w:t>万荣县农业农村局</w:t>
            </w:r>
          </w:p>
        </w:tc>
        <w:tc>
          <w:tcPr>
            <w:tcW w:w="1646" w:type="dxa"/>
            <w:vAlign w:val="center"/>
          </w:tcPr>
          <w:p>
            <w:pPr>
              <w:snapToGrid w:val="0"/>
              <w:spacing w:line="340" w:lineRule="exact"/>
              <w:jc w:val="center"/>
              <w:rPr>
                <w:rFonts w:eastAsia="仿宋_GB2312"/>
                <w:bCs/>
                <w:sz w:val="24"/>
              </w:rPr>
            </w:pPr>
            <w:r>
              <w:rPr>
                <w:rFonts w:hint="eastAsia" w:eastAsia="仿宋_GB2312"/>
                <w:bCs/>
                <w:sz w:val="24"/>
              </w:rPr>
              <w:t>采纳</w:t>
            </w:r>
          </w:p>
        </w:tc>
        <w:tc>
          <w:tcPr>
            <w:tcW w:w="2028" w:type="dxa"/>
            <w:vAlign w:val="center"/>
          </w:tcPr>
          <w:p>
            <w:pPr>
              <w:snapToGrid w:val="0"/>
              <w:spacing w:line="340" w:lineRule="exact"/>
              <w:rPr>
                <w:rFonts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733" w:type="dxa"/>
            <w:vAlign w:val="center"/>
          </w:tcPr>
          <w:p>
            <w:pPr>
              <w:snapToGrid w:val="0"/>
              <w:spacing w:line="340" w:lineRule="exact"/>
              <w:jc w:val="center"/>
              <w:rPr>
                <w:rFonts w:eastAsia="仿宋_GB2312"/>
                <w:bCs/>
                <w:sz w:val="24"/>
              </w:rPr>
            </w:pPr>
            <w:r>
              <w:rPr>
                <w:rFonts w:hint="eastAsia" w:eastAsia="仿宋_GB2312"/>
                <w:bCs/>
                <w:sz w:val="24"/>
              </w:rPr>
              <w:t>4</w:t>
            </w:r>
          </w:p>
        </w:tc>
        <w:tc>
          <w:tcPr>
            <w:tcW w:w="1529" w:type="dxa"/>
            <w:vAlign w:val="center"/>
          </w:tcPr>
          <w:p>
            <w:pPr>
              <w:snapToGrid w:val="0"/>
              <w:spacing w:line="340" w:lineRule="exact"/>
              <w:jc w:val="center"/>
              <w:rPr>
                <w:rFonts w:eastAsia="仿宋_GB2312"/>
                <w:bCs/>
                <w:sz w:val="24"/>
              </w:rPr>
            </w:pPr>
            <w:r>
              <w:rPr>
                <w:rFonts w:hint="eastAsia"/>
              </w:rPr>
              <w:t>5.6.4.1</w:t>
            </w:r>
          </w:p>
        </w:tc>
        <w:tc>
          <w:tcPr>
            <w:tcW w:w="5896" w:type="dxa"/>
            <w:vAlign w:val="center"/>
          </w:tcPr>
          <w:p>
            <w:pPr>
              <w:snapToGrid w:val="0"/>
              <w:spacing w:line="340" w:lineRule="exact"/>
              <w:rPr>
                <w:rFonts w:eastAsia="仿宋_GB2312"/>
                <w:bCs/>
                <w:sz w:val="24"/>
              </w:rPr>
            </w:pPr>
            <w:r>
              <w:rPr>
                <w:rFonts w:hint="eastAsia"/>
              </w:rPr>
              <w:t>将“5.6.4.1 刮治流胶病”章节中的“菌毒清或辛菌胺醋酸水剂50</w:t>
            </w:r>
            <w:r>
              <w:t>～</w:t>
            </w:r>
            <w:r>
              <w:rPr>
                <w:rFonts w:hint="eastAsia"/>
              </w:rPr>
              <w:t>100倍液”更换为流胶病登记药剂“多粘类芽孢杆菌”，该药剂为新型生物源可以有效防治流胶病，在生产中应用逐年增多。</w:t>
            </w:r>
          </w:p>
        </w:tc>
        <w:tc>
          <w:tcPr>
            <w:tcW w:w="2160" w:type="dxa"/>
            <w:vAlign w:val="center"/>
          </w:tcPr>
          <w:p>
            <w:pPr>
              <w:snapToGrid w:val="0"/>
              <w:spacing w:line="340" w:lineRule="exact"/>
              <w:jc w:val="center"/>
              <w:rPr>
                <w:rFonts w:eastAsia="仿宋_GB2312"/>
                <w:bCs/>
                <w:sz w:val="24"/>
              </w:rPr>
            </w:pPr>
            <w:r>
              <w:rPr>
                <w:rFonts w:eastAsia="仿宋_GB2312"/>
                <w:bCs/>
                <w:sz w:val="24"/>
              </w:rPr>
              <w:t>万荣县农业农村局</w:t>
            </w:r>
          </w:p>
        </w:tc>
        <w:tc>
          <w:tcPr>
            <w:tcW w:w="1646" w:type="dxa"/>
            <w:vAlign w:val="center"/>
          </w:tcPr>
          <w:p>
            <w:pPr>
              <w:snapToGrid w:val="0"/>
              <w:spacing w:line="340" w:lineRule="exact"/>
              <w:jc w:val="center"/>
              <w:rPr>
                <w:rFonts w:eastAsia="仿宋_GB2312"/>
                <w:bCs/>
                <w:sz w:val="24"/>
              </w:rPr>
            </w:pPr>
            <w:r>
              <w:rPr>
                <w:rFonts w:eastAsia="仿宋_GB2312"/>
                <w:bCs/>
                <w:sz w:val="24"/>
              </w:rPr>
              <w:t>采纳</w:t>
            </w:r>
          </w:p>
        </w:tc>
        <w:tc>
          <w:tcPr>
            <w:tcW w:w="2028" w:type="dxa"/>
            <w:vAlign w:val="center"/>
          </w:tcPr>
          <w:p>
            <w:pPr>
              <w:snapToGrid w:val="0"/>
              <w:spacing w:line="340" w:lineRule="exact"/>
              <w:rPr>
                <w:rFonts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733" w:type="dxa"/>
            <w:vAlign w:val="center"/>
          </w:tcPr>
          <w:p>
            <w:pPr>
              <w:snapToGrid w:val="0"/>
              <w:spacing w:line="340" w:lineRule="exact"/>
              <w:jc w:val="center"/>
              <w:rPr>
                <w:rFonts w:eastAsia="仿宋_GB2312"/>
                <w:bCs/>
                <w:sz w:val="24"/>
              </w:rPr>
            </w:pPr>
            <w:r>
              <w:rPr>
                <w:rFonts w:hint="eastAsia" w:eastAsia="仿宋_GB2312"/>
                <w:bCs/>
                <w:sz w:val="24"/>
              </w:rPr>
              <w:t>5</w:t>
            </w:r>
          </w:p>
        </w:tc>
        <w:tc>
          <w:tcPr>
            <w:tcW w:w="1529" w:type="dxa"/>
            <w:vAlign w:val="center"/>
          </w:tcPr>
          <w:p>
            <w:pPr>
              <w:snapToGrid w:val="0"/>
              <w:spacing w:line="340" w:lineRule="exact"/>
              <w:jc w:val="center"/>
              <w:rPr>
                <w:rFonts w:eastAsia="仿宋_GB2312"/>
                <w:bCs/>
                <w:sz w:val="24"/>
              </w:rPr>
            </w:pPr>
            <w:r>
              <w:rPr>
                <w:rFonts w:hint="eastAsia"/>
              </w:rPr>
              <w:t>5.5.3</w:t>
            </w:r>
          </w:p>
        </w:tc>
        <w:tc>
          <w:tcPr>
            <w:tcW w:w="5896" w:type="dxa"/>
          </w:tcPr>
          <w:p>
            <w:pPr>
              <w:snapToGrid w:val="0"/>
              <w:spacing w:line="340" w:lineRule="exact"/>
              <w:rPr>
                <w:rFonts w:eastAsia="仿宋_GB2312"/>
                <w:bCs/>
                <w:sz w:val="24"/>
              </w:rPr>
            </w:pPr>
            <w:r>
              <w:rPr>
                <w:rFonts w:hint="eastAsia"/>
              </w:rPr>
              <w:t>在“5.5.3 防治果蝇”章节中增加“诱蝇球诱杀”技术，诱蝇球利用了“仿生学+色诱+性诱”技术融合，对果蝇的监测和防控均有较好的效果，生产中应用逐年增多。</w:t>
            </w:r>
          </w:p>
        </w:tc>
        <w:tc>
          <w:tcPr>
            <w:tcW w:w="2160" w:type="dxa"/>
            <w:vAlign w:val="center"/>
          </w:tcPr>
          <w:p>
            <w:pPr>
              <w:snapToGrid w:val="0"/>
              <w:spacing w:line="340" w:lineRule="exact"/>
              <w:jc w:val="center"/>
              <w:rPr>
                <w:rFonts w:eastAsia="仿宋_GB2312"/>
                <w:bCs/>
                <w:sz w:val="24"/>
              </w:rPr>
            </w:pPr>
            <w:r>
              <w:rPr>
                <w:rFonts w:eastAsia="仿宋_GB2312"/>
                <w:bCs/>
                <w:sz w:val="24"/>
              </w:rPr>
              <w:t>绛县农业农村局</w:t>
            </w:r>
          </w:p>
        </w:tc>
        <w:tc>
          <w:tcPr>
            <w:tcW w:w="1646" w:type="dxa"/>
            <w:vAlign w:val="center"/>
          </w:tcPr>
          <w:p>
            <w:pPr>
              <w:snapToGrid w:val="0"/>
              <w:spacing w:line="340" w:lineRule="exact"/>
              <w:jc w:val="center"/>
              <w:rPr>
                <w:rFonts w:eastAsia="仿宋_GB2312"/>
                <w:bCs/>
                <w:sz w:val="24"/>
              </w:rPr>
            </w:pPr>
            <w:r>
              <w:rPr>
                <w:rFonts w:hint="eastAsia" w:eastAsia="仿宋_GB2312"/>
                <w:bCs/>
                <w:sz w:val="24"/>
              </w:rPr>
              <w:t>采纳</w:t>
            </w:r>
          </w:p>
        </w:tc>
        <w:tc>
          <w:tcPr>
            <w:tcW w:w="2028" w:type="dxa"/>
            <w:vAlign w:val="center"/>
          </w:tcPr>
          <w:p>
            <w:pPr>
              <w:snapToGrid w:val="0"/>
              <w:spacing w:line="340" w:lineRule="exact"/>
              <w:rPr>
                <w:rFonts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3992" w:type="dxa"/>
            <w:gridSpan w:val="6"/>
            <w:vAlign w:val="center"/>
          </w:tcPr>
          <w:p>
            <w:pPr>
              <w:spacing w:line="340" w:lineRule="exact"/>
              <w:ind w:firstLine="420" w:firstLineChars="200"/>
            </w:pPr>
            <w:r>
              <w:rPr>
                <w:rFonts w:hint="eastAsia"/>
              </w:rPr>
              <w:t>说明：1、针对明确回复无意见的单位，请在“意见内容”中注明无意见，在“提出意见”中列出无意见单位的名称。</w:t>
            </w:r>
          </w:p>
          <w:p>
            <w:pPr>
              <w:pStyle w:val="2"/>
              <w:spacing w:line="340" w:lineRule="exact"/>
              <w:ind w:left="1380" w:hanging="960" w:hangingChars="300"/>
            </w:pPr>
            <w:r>
              <w:rPr>
                <w:rFonts w:hint="eastAsia"/>
              </w:rPr>
              <w:t xml:space="preserve">    </w:t>
            </w:r>
            <w:r>
              <w:rPr>
                <w:rFonts w:hint="eastAsia" w:ascii="Times New Roman" w:hAnsi="Times New Roman"/>
                <w:sz w:val="21"/>
                <w:szCs w:val="24"/>
              </w:rPr>
              <w:t>2、发送征求意见稿单位数</w:t>
            </w:r>
            <w:r>
              <w:rPr>
                <w:rFonts w:hint="eastAsia" w:ascii="Times New Roman" w:hAnsi="Times New Roman"/>
                <w:sz w:val="21"/>
                <w:szCs w:val="24"/>
                <w:u w:val="single"/>
              </w:rPr>
              <w:t>3</w:t>
            </w:r>
            <w:r>
              <w:rPr>
                <w:rFonts w:hint="eastAsia" w:ascii="Times New Roman" w:hAnsi="Times New Roman"/>
                <w:sz w:val="21"/>
                <w:szCs w:val="24"/>
              </w:rPr>
              <w:t>个；回到征求意见稿回函的单位</w:t>
            </w:r>
            <w:r>
              <w:rPr>
                <w:rFonts w:hint="eastAsia" w:ascii="Times New Roman" w:hAnsi="Times New Roman"/>
                <w:sz w:val="21"/>
                <w:szCs w:val="24"/>
                <w:u w:val="single"/>
              </w:rPr>
              <w:t>3</w:t>
            </w:r>
            <w:r>
              <w:rPr>
                <w:rFonts w:hint="eastAsia" w:ascii="Times New Roman" w:hAnsi="Times New Roman"/>
                <w:sz w:val="21"/>
                <w:szCs w:val="24"/>
              </w:rPr>
              <w:t>个；收到征求意见稿并提出意见的单位</w:t>
            </w:r>
            <w:r>
              <w:rPr>
                <w:rFonts w:hint="eastAsia" w:ascii="Times New Roman" w:hAnsi="Times New Roman"/>
                <w:sz w:val="21"/>
                <w:szCs w:val="24"/>
                <w:u w:val="single"/>
              </w:rPr>
              <w:t>3</w:t>
            </w:r>
            <w:r>
              <w:rPr>
                <w:rFonts w:hint="eastAsia" w:ascii="Times New Roman" w:hAnsi="Times New Roman"/>
                <w:sz w:val="21"/>
                <w:szCs w:val="24"/>
              </w:rPr>
              <w:t>个；共收到</w:t>
            </w:r>
            <w:r>
              <w:rPr>
                <w:rFonts w:hint="eastAsia" w:ascii="Times New Roman" w:hAnsi="Times New Roman"/>
                <w:sz w:val="21"/>
                <w:szCs w:val="24"/>
                <w:u w:val="single"/>
              </w:rPr>
              <w:t>5</w:t>
            </w:r>
            <w:r>
              <w:rPr>
                <w:rFonts w:hint="eastAsia" w:ascii="Times New Roman" w:hAnsi="Times New Roman"/>
                <w:sz w:val="21"/>
                <w:szCs w:val="24"/>
              </w:rPr>
              <w:t>条意见，采纳</w:t>
            </w:r>
            <w:r>
              <w:rPr>
                <w:rFonts w:hint="eastAsia" w:ascii="Times New Roman" w:hAnsi="Times New Roman"/>
                <w:sz w:val="21"/>
                <w:szCs w:val="24"/>
                <w:u w:val="single"/>
              </w:rPr>
              <w:t>5</w:t>
            </w:r>
            <w:r>
              <w:rPr>
                <w:rFonts w:hint="eastAsia" w:ascii="Times New Roman" w:hAnsi="Times New Roman"/>
                <w:sz w:val="21"/>
                <w:szCs w:val="24"/>
              </w:rPr>
              <w:t>条，部分采纳</w:t>
            </w:r>
            <w:r>
              <w:rPr>
                <w:rFonts w:hint="eastAsia" w:ascii="Times New Roman" w:hAnsi="Times New Roman"/>
                <w:sz w:val="21"/>
                <w:szCs w:val="24"/>
                <w:u w:val="single"/>
              </w:rPr>
              <w:t>0</w:t>
            </w:r>
            <w:r>
              <w:rPr>
                <w:rFonts w:hint="eastAsia" w:ascii="Times New Roman" w:hAnsi="Times New Roman"/>
                <w:sz w:val="21"/>
                <w:szCs w:val="24"/>
              </w:rPr>
              <w:t>条，未采纳</w:t>
            </w:r>
            <w:r>
              <w:rPr>
                <w:rFonts w:hint="eastAsia" w:ascii="Times New Roman" w:hAnsi="Times New Roman"/>
                <w:sz w:val="21"/>
                <w:szCs w:val="24"/>
                <w:u w:val="single"/>
              </w:rPr>
              <w:t>0</w:t>
            </w:r>
            <w:r>
              <w:rPr>
                <w:rFonts w:hint="eastAsia" w:ascii="Times New Roman" w:hAnsi="Times New Roman"/>
                <w:sz w:val="21"/>
                <w:szCs w:val="24"/>
              </w:rPr>
              <w:t>条意见。</w:t>
            </w:r>
          </w:p>
        </w:tc>
      </w:tr>
    </w:tbl>
    <w:p>
      <w:pPr>
        <w:jc w:val="left"/>
      </w:pPr>
    </w:p>
    <w:sectPr>
      <w:headerReference r:id="rId6" w:type="default"/>
      <w:footerReference r:id="rId7" w:type="default"/>
      <w:pgSz w:w="16838" w:h="11906" w:orient="landscape"/>
      <w:pgMar w:top="1270" w:right="1531" w:bottom="760" w:left="1531" w:header="851" w:footer="992" w:gutter="0"/>
      <w:pgNumType w:fmt="decimal"/>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Mangal">
    <w:altName w:val="Noto Sans Syriac Eastern"/>
    <w:panose1 w:val="02040503050203030202"/>
    <w:charset w:val="00"/>
    <w:family w:val="roman"/>
    <w:pitch w:val="default"/>
    <w:sig w:usb0="00000000" w:usb1="00000000" w:usb2="00000000" w:usb3="00000000" w:csb0="00000001"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方正楷体_GBK"/>
    <w:panose1 w:val="00000000000000000000"/>
    <w:charset w:val="86"/>
    <w:family w:val="modern"/>
    <w:pitch w:val="default"/>
    <w:sig w:usb0="00000000" w:usb1="00000000" w:usb2="00000010" w:usb3="00000000" w:csb0="00040000" w:csb1="00000000"/>
  </w:font>
  <w:font w:name="仿宋_GB2312">
    <w:altName w:val="方正仿宋_GBK"/>
    <w:panose1 w:val="00000000000000000000"/>
    <w:charset w:val="86"/>
    <w:family w:val="modern"/>
    <w:pitch w:val="default"/>
    <w:sig w:usb0="00000000" w:usb1="00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  \* MERGEFORMAT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  \* MERGEFORMAT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8</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TrackMoves/>
  <w:documentProtection w:enforcement="0"/>
  <w:defaultTabStop w:val="420"/>
  <w:drawingGridHorizontalSpacing w:val="105"/>
  <w:drawingGridVerticalSpacing w:val="156"/>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kZDg3YzJjYmJjMmMxYTk5NDA0YzcwOWVjNTllY2U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41D3"/>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60F8"/>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0FF316D"/>
    <w:rsid w:val="15A46B04"/>
    <w:rsid w:val="1F9E354B"/>
    <w:rsid w:val="28B54015"/>
    <w:rsid w:val="2D4D745F"/>
    <w:rsid w:val="2DF76A60"/>
    <w:rsid w:val="36D38BAE"/>
    <w:rsid w:val="3D25D500"/>
    <w:rsid w:val="3DBEB513"/>
    <w:rsid w:val="3F7B0026"/>
    <w:rsid w:val="3F9FD22F"/>
    <w:rsid w:val="444D105D"/>
    <w:rsid w:val="476A3CD6"/>
    <w:rsid w:val="4F7B247E"/>
    <w:rsid w:val="4FBFEDBC"/>
    <w:rsid w:val="57D94567"/>
    <w:rsid w:val="63BD8BA4"/>
    <w:rsid w:val="6BFF0146"/>
    <w:rsid w:val="6D9BFC4F"/>
    <w:rsid w:val="6DDF16D1"/>
    <w:rsid w:val="767FED05"/>
    <w:rsid w:val="77FF4F98"/>
    <w:rsid w:val="7AD48328"/>
    <w:rsid w:val="7D6208D0"/>
    <w:rsid w:val="7D726DF6"/>
    <w:rsid w:val="7DF7B7FB"/>
    <w:rsid w:val="7E76BBB9"/>
    <w:rsid w:val="7F7F1836"/>
    <w:rsid w:val="7FDE9EE2"/>
    <w:rsid w:val="7FEF9E27"/>
    <w:rsid w:val="93EEA786"/>
    <w:rsid w:val="957B8FC2"/>
    <w:rsid w:val="9B2799D5"/>
    <w:rsid w:val="9CFB7DEA"/>
    <w:rsid w:val="9E66DF27"/>
    <w:rsid w:val="ADAF1DB9"/>
    <w:rsid w:val="B9247E3B"/>
    <w:rsid w:val="BBDFE9F7"/>
    <w:rsid w:val="BBE781AF"/>
    <w:rsid w:val="BD1FC7ED"/>
    <w:rsid w:val="BDEF4B02"/>
    <w:rsid w:val="BF3AE698"/>
    <w:rsid w:val="BFDFD3BF"/>
    <w:rsid w:val="BFFDA1C8"/>
    <w:rsid w:val="CAFB7E7E"/>
    <w:rsid w:val="D5FE192F"/>
    <w:rsid w:val="DF8FADC0"/>
    <w:rsid w:val="E6BF1D1E"/>
    <w:rsid w:val="EC3D1978"/>
    <w:rsid w:val="F5D9E138"/>
    <w:rsid w:val="FBAF6A2C"/>
    <w:rsid w:val="FDE36CCE"/>
    <w:rsid w:val="FEB79341"/>
    <w:rsid w:val="FEF536B0"/>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4">
    <w:name w:val="heading 3"/>
    <w:basedOn w:val="1"/>
    <w:next w:val="1"/>
    <w:link w:val="17"/>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Calibri" w:hAnsi="Calibri"/>
      <w:sz w:val="32"/>
      <w:szCs w:val="32"/>
    </w:rPr>
  </w:style>
  <w:style w:type="paragraph" w:styleId="5">
    <w:name w:val="caption"/>
    <w:basedOn w:val="1"/>
    <w:next w:val="1"/>
    <w:qFormat/>
    <w:uiPriority w:val="99"/>
    <w:pPr>
      <w:suppressLineNumbers/>
      <w:suppressAutoHyphens/>
      <w:spacing w:before="120" w:after="120"/>
    </w:pPr>
    <w:rPr>
      <w:rFonts w:cs="Mangal"/>
      <w:i/>
      <w:iCs/>
      <w:kern w:val="21"/>
      <w:sz w:val="24"/>
      <w:lang w:eastAsia="ar-SA"/>
    </w:rPr>
  </w:style>
  <w:style w:type="paragraph" w:styleId="6">
    <w:name w:val="Body Text"/>
    <w:basedOn w:val="1"/>
    <w:link w:val="27"/>
    <w:qFormat/>
    <w:uiPriority w:val="0"/>
    <w:pPr>
      <w:spacing w:after="120"/>
    </w:pPr>
  </w:style>
  <w:style w:type="paragraph" w:styleId="7">
    <w:name w:val="Date"/>
    <w:basedOn w:val="1"/>
    <w:next w:val="1"/>
    <w:link w:val="26"/>
    <w:semiHidden/>
    <w:unhideWhenUsed/>
    <w:qFormat/>
    <w:uiPriority w:val="99"/>
    <w:pPr>
      <w:ind w:left="100" w:leftChars="2500"/>
    </w:pPr>
  </w:style>
  <w:style w:type="paragraph" w:styleId="8">
    <w:name w:val="Balloon Text"/>
    <w:basedOn w:val="1"/>
    <w:link w:val="23"/>
    <w:semiHidden/>
    <w:unhideWhenUsed/>
    <w:qFormat/>
    <w:uiPriority w:val="99"/>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99"/>
    <w:rPr>
      <w:rFonts w:cs="Times New Roman"/>
      <w:b/>
    </w:rPr>
  </w:style>
  <w:style w:type="character" w:customStyle="1" w:styleId="16">
    <w:name w:val="标题 1 Char"/>
    <w:link w:val="3"/>
    <w:qFormat/>
    <w:locked/>
    <w:uiPriority w:val="99"/>
    <w:rPr>
      <w:rFonts w:cs="Times New Roman"/>
      <w:b/>
      <w:kern w:val="1"/>
      <w:sz w:val="44"/>
      <w:lang w:eastAsia="ar-SA" w:bidi="ar-SA"/>
    </w:rPr>
  </w:style>
  <w:style w:type="character" w:customStyle="1" w:styleId="17">
    <w:name w:val="标题 3 Char"/>
    <w:link w:val="4"/>
    <w:qFormat/>
    <w:locked/>
    <w:uiPriority w:val="99"/>
    <w:rPr>
      <w:rFonts w:cs="Times New Roman"/>
      <w:b/>
      <w:kern w:val="21"/>
      <w:sz w:val="32"/>
      <w:lang w:eastAsia="ar-SA" w:bidi="ar-SA"/>
    </w:rPr>
  </w:style>
  <w:style w:type="paragraph" w:styleId="18">
    <w:name w:val="List Paragraph"/>
    <w:basedOn w:val="1"/>
    <w:qFormat/>
    <w:uiPriority w:val="99"/>
    <w:pPr>
      <w:suppressAutoHyphens/>
      <w:ind w:firstLine="420" w:firstLineChars="200"/>
    </w:pPr>
    <w:rPr>
      <w:kern w:val="21"/>
      <w:lang w:eastAsia="ar-SA"/>
    </w:rPr>
  </w:style>
  <w:style w:type="paragraph" w:customStyle="1" w:styleId="19">
    <w:name w:val="段"/>
    <w:link w:val="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qFormat/>
    <w:locked/>
    <w:uiPriority w:val="0"/>
    <w:rPr>
      <w:rFonts w:ascii="宋体" w:cs="Times New Roman"/>
      <w:sz w:val="21"/>
      <w:lang w:val="en-US" w:eastAsia="zh-CN" w:bidi="ar-SA"/>
    </w:rPr>
  </w:style>
  <w:style w:type="character" w:customStyle="1" w:styleId="21">
    <w:name w:val="页眉 Char"/>
    <w:link w:val="10"/>
    <w:qFormat/>
    <w:uiPriority w:val="99"/>
    <w:rPr>
      <w:sz w:val="18"/>
      <w:szCs w:val="18"/>
    </w:rPr>
  </w:style>
  <w:style w:type="character" w:customStyle="1" w:styleId="22">
    <w:name w:val="页脚 Char"/>
    <w:link w:val="9"/>
    <w:qFormat/>
    <w:uiPriority w:val="99"/>
    <w:rPr>
      <w:sz w:val="18"/>
      <w:szCs w:val="18"/>
    </w:rPr>
  </w:style>
  <w:style w:type="character" w:customStyle="1" w:styleId="23">
    <w:name w:val="批注框文本 Char"/>
    <w:link w:val="8"/>
    <w:semiHidden/>
    <w:qFormat/>
    <w:uiPriority w:val="99"/>
    <w:rPr>
      <w:kern w:val="2"/>
      <w:sz w:val="18"/>
      <w:szCs w:val="18"/>
    </w:rPr>
  </w:style>
  <w:style w:type="table" w:customStyle="1" w:styleId="24">
    <w:name w:val="浅色底纹1"/>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5">
    <w:name w:val="浅色底纹2"/>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6">
    <w:name w:val="日期 Char"/>
    <w:basedOn w:val="14"/>
    <w:link w:val="7"/>
    <w:semiHidden/>
    <w:qFormat/>
    <w:uiPriority w:val="99"/>
    <w:rPr>
      <w:kern w:val="2"/>
      <w:sz w:val="21"/>
      <w:szCs w:val="24"/>
    </w:rPr>
  </w:style>
  <w:style w:type="character" w:customStyle="1" w:styleId="27">
    <w:name w:val="正文文本 Char"/>
    <w:basedOn w:val="14"/>
    <w:link w:val="6"/>
    <w:qFormat/>
    <w:uiPriority w:val="0"/>
    <w:rPr>
      <w:kern w:val="2"/>
      <w:sz w:val="21"/>
      <w:szCs w:val="24"/>
    </w:rPr>
  </w:style>
  <w:style w:type="paragraph" w:customStyle="1" w:styleId="28">
    <w:name w:val="标准文件_段"/>
    <w:link w:val="2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准文件_段 Char"/>
    <w:link w:val="28"/>
    <w:qFormat/>
    <w:uiPriority w:val="0"/>
    <w:rPr>
      <w:rFonts w:ascii="宋体"/>
      <w:sz w:val="21"/>
    </w:rPr>
  </w:style>
  <w:style w:type="paragraph" w:customStyle="1" w:styleId="30">
    <w:name w:val="一级条标题"/>
    <w:next w:val="19"/>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1">
    <w:name w:val="二级条标题"/>
    <w:basedOn w:val="30"/>
    <w:next w:val="19"/>
    <w:qFormat/>
    <w:uiPriority w:val="0"/>
    <w:pPr>
      <w:numPr>
        <w:ilvl w:val="2"/>
      </w:numPr>
      <w:spacing w:before="50" w:after="50"/>
      <w:outlineLvl w:val="3"/>
    </w:pPr>
  </w:style>
  <w:style w:type="paragraph" w:customStyle="1" w:styleId="32">
    <w:name w:val="附录表标题"/>
    <w:basedOn w:val="1"/>
    <w:next w:val="19"/>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3738</Words>
  <Characters>3974</Characters>
  <Lines>4</Lines>
  <Paragraphs>8</Paragraphs>
  <TotalTime>5</TotalTime>
  <ScaleCrop>false</ScaleCrop>
  <LinksUpToDate>false</LinksUpToDate>
  <CharactersWithSpaces>4042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2016-02-27T07:17:00Z</dcterms:created>
  <dc:creator>lenovo</dc:creator>
  <cp:lastModifiedBy>baixin</cp:lastModifiedBy>
  <cp:lastPrinted>2024-08-19T19:13:00Z</cp:lastPrinted>
  <dcterms:modified xsi:type="dcterms:W3CDTF">2024-08-23T15:02:33Z</dcterms:modified>
  <cp:revision>538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CAD14D63EF4F406ABDBA47804E864B17_12</vt:lpwstr>
  </property>
</Properties>
</file>